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D6" w:rsidRPr="00943510" w:rsidRDefault="00EE0DD6" w:rsidP="00EE0DD6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943510">
        <w:rPr>
          <w:b w:val="0"/>
          <w:szCs w:val="24"/>
        </w:rPr>
        <w:t>Утвержден</w:t>
      </w:r>
      <w:r w:rsidRPr="00943510">
        <w:rPr>
          <w:b w:val="0"/>
          <w:szCs w:val="24"/>
        </w:rPr>
        <w:br/>
        <w:t xml:space="preserve">приказом АО "Энерго-Альянс" </w:t>
      </w:r>
    </w:p>
    <w:p w:rsidR="00EE0DD6" w:rsidRPr="00943510" w:rsidRDefault="00EE0DD6" w:rsidP="00EE0DD6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943510">
        <w:rPr>
          <w:b w:val="0"/>
          <w:szCs w:val="24"/>
        </w:rPr>
        <w:t>от _____________ №________</w:t>
      </w:r>
    </w:p>
    <w:p w:rsidR="00EE0DD6" w:rsidRPr="00943510" w:rsidRDefault="00EE0DD6" w:rsidP="00EE0DD6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943510">
        <w:rPr>
          <w:szCs w:val="24"/>
        </w:rPr>
        <w:t>ПАСПОРТ УСЛУГИ (ПРОЦЕССА) АО "Энерго-Альянс"</w:t>
      </w:r>
    </w:p>
    <w:p w:rsidR="00EE0DD6" w:rsidRPr="00943510" w:rsidRDefault="00EE0DD6" w:rsidP="00EE0DD6">
      <w:pPr>
        <w:autoSpaceDE w:val="0"/>
        <w:autoSpaceDN w:val="0"/>
        <w:adjustRightInd w:val="0"/>
        <w:jc w:val="center"/>
        <w:rPr>
          <w:b/>
          <w:szCs w:val="24"/>
        </w:rPr>
      </w:pPr>
      <w:r w:rsidRPr="00943510">
        <w:rPr>
          <w:b/>
          <w:szCs w:val="24"/>
        </w:rPr>
        <w:t xml:space="preserve">ТЕХНОЛОГИЧЕСКОЕ ПРИСОЕДИНЕНИЕ К ЭЛЕКТРИЧЕСКИМ СЕТЯМ </w:t>
      </w:r>
    </w:p>
    <w:p w:rsidR="00EE0DD6" w:rsidRPr="00943510" w:rsidRDefault="00EE0DD6" w:rsidP="00EE0DD6">
      <w:pPr>
        <w:autoSpaceDE w:val="0"/>
        <w:autoSpaceDN w:val="0"/>
        <w:adjustRightInd w:val="0"/>
        <w:jc w:val="center"/>
        <w:rPr>
          <w:b/>
          <w:szCs w:val="24"/>
        </w:rPr>
      </w:pPr>
      <w:r w:rsidRPr="00943510">
        <w:rPr>
          <w:b/>
          <w:szCs w:val="24"/>
        </w:rPr>
        <w:t>ПОСРЕДСТВОМ ПЕРЕРАСПРЕДЕЛЕНИЯ МАКСИМАЛЬНОЙ МОЩНОСТИ</w:t>
      </w:r>
      <w:r w:rsidRPr="00943510">
        <w:rPr>
          <w:b/>
          <w:szCs w:val="24"/>
        </w:rPr>
        <w:br/>
      </w:r>
    </w:p>
    <w:p w:rsidR="00EE0DD6" w:rsidRPr="00943510" w:rsidRDefault="00EE0DD6" w:rsidP="00EE0DD6">
      <w:pPr>
        <w:rPr>
          <w:szCs w:val="24"/>
        </w:rPr>
      </w:pPr>
      <w:r w:rsidRPr="00943510">
        <w:rPr>
          <w:b/>
          <w:szCs w:val="24"/>
        </w:rPr>
        <w:t xml:space="preserve">КРУГ ЛИЦ, ПЕРЕРАСПРЕДЕЛЯЮЩИХ МОЩНОСТЬ: </w:t>
      </w:r>
      <w:r w:rsidRPr="00943510">
        <w:rPr>
          <w:szCs w:val="24"/>
        </w:rPr>
        <w:t>юридическое лицо или индивидуальный предприниматель, намеренные перераспределить мощность своих энергопринимающих устройств в пользу иных лиц исоответствующие условиям оказания услуги.</w:t>
      </w:r>
    </w:p>
    <w:p w:rsidR="00EE0DD6" w:rsidRPr="00943510" w:rsidRDefault="00EE0DD6" w:rsidP="00EE0DD6">
      <w:pPr>
        <w:rPr>
          <w:szCs w:val="24"/>
        </w:rPr>
      </w:pPr>
      <w:r w:rsidRPr="00943510">
        <w:rPr>
          <w:b/>
          <w:szCs w:val="24"/>
        </w:rPr>
        <w:t xml:space="preserve">КРУГ ЗАЯВИТЕЛЕЙ: </w:t>
      </w:r>
      <w:r w:rsidRPr="00943510">
        <w:rPr>
          <w:szCs w:val="24"/>
        </w:rPr>
        <w:t>любое лицо, заинтересованное в перераспределении в свою пользу максимальной мощности.</w:t>
      </w:r>
    </w:p>
    <w:p w:rsidR="00EE0DD6" w:rsidRPr="00943510" w:rsidRDefault="00EE0DD6" w:rsidP="00EE0DD6">
      <w:pPr>
        <w:autoSpaceDE w:val="0"/>
        <w:autoSpaceDN w:val="0"/>
        <w:adjustRightInd w:val="0"/>
        <w:rPr>
          <w:szCs w:val="24"/>
        </w:rPr>
      </w:pPr>
      <w:r w:rsidRPr="00943510">
        <w:rPr>
          <w:b/>
          <w:szCs w:val="24"/>
        </w:rPr>
        <w:t>РАЗМЕР ПЛАТЫ ЗА ПРЕДОСТАВЛЕНИЕ УСЛУГИ (ПРОЦЕССА) И ОСНОВАНИЕ ЕЕ ВЗИМАНИЯ:</w:t>
      </w:r>
      <w:r w:rsidRPr="00943510">
        <w:rPr>
          <w:szCs w:val="24"/>
        </w:rPr>
        <w:t>Размер платы за технологическое присоединение энергопринимающих устройств рассчитывается в соответствиис решением уполномоченного органа исполнительной власти в области государственного регулирования тарифов(Постановление РСТ Пермского края от 26.12.2016</w:t>
      </w:r>
      <w:bookmarkStart w:id="0" w:name="_GoBack"/>
      <w:bookmarkEnd w:id="0"/>
      <w:r w:rsidRPr="00943510">
        <w:rPr>
          <w:szCs w:val="24"/>
        </w:rPr>
        <w:t xml:space="preserve"> № 99-тп) и зависит от величины максимальной мощности присоединяемых энергопринимающих устройств, категории надежности, уровня напряжения, расстояния до объектов электросетевого хозяйства АО "Энерго-Альянс". </w:t>
      </w:r>
    </w:p>
    <w:p w:rsidR="00EE0DD6" w:rsidRPr="00943510" w:rsidRDefault="00EE0DD6" w:rsidP="00EE0DD6">
      <w:pPr>
        <w:autoSpaceDE w:val="0"/>
        <w:autoSpaceDN w:val="0"/>
        <w:adjustRightInd w:val="0"/>
        <w:rPr>
          <w:szCs w:val="24"/>
        </w:rPr>
      </w:pPr>
      <w:r w:rsidRPr="00943510">
        <w:rPr>
          <w:szCs w:val="24"/>
        </w:rPr>
        <w:t>При осуществлении технологического присоединения по индивидуальному проекту плата за технологическое присоединение энергопринимающих устройств утверждается уполномоченным органом исполнительной власти в области государственного регулирования тарифов для каждого случая отдельно.</w:t>
      </w:r>
    </w:p>
    <w:p w:rsidR="00EE0DD6" w:rsidRPr="00943510" w:rsidRDefault="00EE0DD6" w:rsidP="00EE0DD6">
      <w:pPr>
        <w:autoSpaceDE w:val="0"/>
        <w:autoSpaceDN w:val="0"/>
        <w:adjustRightInd w:val="0"/>
        <w:rPr>
          <w:szCs w:val="24"/>
        </w:rPr>
      </w:pPr>
      <w:r w:rsidRPr="00943510">
        <w:rPr>
          <w:b/>
          <w:szCs w:val="24"/>
        </w:rPr>
        <w:t>УСЛОВИЯ ОКАЗАНИЯ УСЛУГИ (ПРОЦЕССА):</w:t>
      </w:r>
    </w:p>
    <w:p w:rsidR="00EE0DD6" w:rsidRPr="00943510" w:rsidRDefault="00EE0DD6" w:rsidP="00EE0DD6">
      <w:pPr>
        <w:autoSpaceDE w:val="0"/>
        <w:autoSpaceDN w:val="0"/>
        <w:adjustRightInd w:val="0"/>
        <w:ind w:firstLine="426"/>
        <w:rPr>
          <w:szCs w:val="24"/>
        </w:rPr>
      </w:pPr>
      <w:r w:rsidRPr="00943510">
        <w:rPr>
          <w:szCs w:val="24"/>
        </w:rPr>
        <w:t>1) Наличие соглашения о перераспределении мощности между заинтересованными лицами (лицом, перераспределяющим максимальную мощность своих энергопринимающих устройств, и заявителем).</w:t>
      </w:r>
    </w:p>
    <w:p w:rsidR="00EE0DD6" w:rsidRPr="00943510" w:rsidRDefault="00EE0DD6" w:rsidP="00EE0DD6">
      <w:pPr>
        <w:autoSpaceDE w:val="0"/>
        <w:autoSpaceDN w:val="0"/>
        <w:adjustRightInd w:val="0"/>
        <w:ind w:firstLine="426"/>
        <w:rPr>
          <w:szCs w:val="24"/>
        </w:rPr>
      </w:pPr>
      <w:r w:rsidRPr="00943510">
        <w:rPr>
          <w:szCs w:val="24"/>
        </w:rPr>
        <w:t>2) Перераспределение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EE0DD6" w:rsidRPr="00943510" w:rsidRDefault="00EE0DD6" w:rsidP="00EE0DD6">
      <w:pPr>
        <w:autoSpaceDE w:val="0"/>
        <w:autoSpaceDN w:val="0"/>
        <w:adjustRightInd w:val="0"/>
        <w:ind w:firstLine="426"/>
        <w:rPr>
          <w:szCs w:val="24"/>
        </w:rPr>
      </w:pPr>
      <w:r w:rsidRPr="00943510">
        <w:rPr>
          <w:szCs w:val="24"/>
        </w:rPr>
        <w:t>3) Лицами, перераспределяющими мощность, могут быть те, в отношении энергопринимающих устройств которых до 1 января 2009 г. в установленном порядке было осуществлено технологическое присоединение к электрическим сетям, 4) Лицами, перераспределяющими мощность, не могут бытьюридические лица и индивидуальные предприниматели до 150 кВт (3 категория надежности); лица,намеревающиеся осуществить присоединение по временной схеме;физическиелица, использующиеэнергопринимающиеустройства для коммунально-бытовыхнужд и мощность которых составляет до 15 кВт по 3 категории надежности (с учетом ранее присоединенной мощности); лица, энергопринимающие устройства которых присоединены к электросетевым объектам, соответствующим критериям отнесения к ЕНЭС; лица, не внесшие (внесшие не в полном объеме) плату за технологическое присоединение.</w:t>
      </w:r>
    </w:p>
    <w:p w:rsidR="00EE0DD6" w:rsidRPr="00943510" w:rsidRDefault="00EE0DD6" w:rsidP="00EE0DD6">
      <w:pPr>
        <w:autoSpaceDE w:val="0"/>
        <w:autoSpaceDN w:val="0"/>
        <w:adjustRightInd w:val="0"/>
        <w:ind w:firstLine="426"/>
        <w:rPr>
          <w:szCs w:val="24"/>
        </w:rPr>
      </w:pPr>
      <w:r w:rsidRPr="00943510">
        <w:rPr>
          <w:szCs w:val="24"/>
        </w:rPr>
        <w:lastRenderedPageBreak/>
        <w:t>5) Лица, перераспределяющие мощность вправе представить в сетевую организацию, к объектам которой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EE0DD6" w:rsidRPr="00943510" w:rsidRDefault="00EE0DD6" w:rsidP="00EE0DD6">
      <w:pPr>
        <w:autoSpaceDE w:val="0"/>
        <w:autoSpaceDN w:val="0"/>
        <w:adjustRightInd w:val="0"/>
        <w:ind w:firstLine="426"/>
        <w:rPr>
          <w:szCs w:val="24"/>
        </w:rPr>
      </w:pPr>
      <w:r w:rsidRPr="00943510">
        <w:rPr>
          <w:szCs w:val="24"/>
        </w:rPr>
        <w:t>6) Лица, энергоснабжение энергопринимающих устройств которых осуществляется по 3 категории надежности, не вправе перераспределять свою максимальную мощность в пользу лиц, энергоснабжение энергопринимающих устройств которых осуществляется по 1 или 2 категории надежности.</w:t>
      </w:r>
    </w:p>
    <w:p w:rsidR="00EE0DD6" w:rsidRPr="00943510" w:rsidRDefault="00EE0DD6" w:rsidP="00EE0DD6">
      <w:pPr>
        <w:autoSpaceDE w:val="0"/>
        <w:autoSpaceDN w:val="0"/>
        <w:adjustRightInd w:val="0"/>
        <w:rPr>
          <w:szCs w:val="24"/>
        </w:rPr>
      </w:pPr>
      <w:r w:rsidRPr="00943510">
        <w:rPr>
          <w:b/>
          <w:szCs w:val="24"/>
        </w:rPr>
        <w:t>РЕЗУЛЬТАТ ОКАЗАНИЯ УСЛУГИ (ПРОЦЕССА):</w:t>
      </w:r>
      <w:r w:rsidRPr="00943510">
        <w:rPr>
          <w:szCs w:val="24"/>
        </w:rPr>
        <w:t>технологическое присоединениеэнергопринимающих устройств заявителя посредством перераспределения мощности.</w:t>
      </w:r>
    </w:p>
    <w:p w:rsidR="00EE0DD6" w:rsidRPr="00943510" w:rsidRDefault="00EE0DD6" w:rsidP="00EE0DD6">
      <w:pPr>
        <w:autoSpaceDE w:val="0"/>
        <w:autoSpaceDN w:val="0"/>
        <w:adjustRightInd w:val="0"/>
        <w:outlineLvl w:val="0"/>
        <w:rPr>
          <w:b/>
          <w:szCs w:val="24"/>
        </w:rPr>
      </w:pPr>
      <w:r w:rsidRPr="00943510">
        <w:rPr>
          <w:b/>
          <w:szCs w:val="24"/>
        </w:rPr>
        <w:t>ОБЩИЙ СРОК ОКАЗАНИЯ УСЛУГИ (ПРОЦЕССА):</w:t>
      </w:r>
    </w:p>
    <w:p w:rsidR="00EE0DD6" w:rsidRPr="00943510" w:rsidRDefault="00EE0DD6" w:rsidP="00EE0DD6">
      <w:pPr>
        <w:autoSpaceDE w:val="0"/>
        <w:autoSpaceDN w:val="0"/>
        <w:adjustRightInd w:val="0"/>
        <w:ind w:firstLine="540"/>
        <w:rPr>
          <w:bCs/>
          <w:szCs w:val="24"/>
        </w:rPr>
      </w:pPr>
      <w:r w:rsidRPr="00943510">
        <w:rPr>
          <w:szCs w:val="24"/>
        </w:rPr>
        <w:t xml:space="preserve">Приотсутствии необходимости строительства (реконструкции) объектов электросетевого хозяйства от существующих объектов электросетевого хозяйства АО "Энерго-Альянс" до границ участка лица, в пользу которых предполагается перераспределить максимальную мощность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</w:t>
      </w:r>
      <w:r w:rsidRPr="00943510">
        <w:rPr>
          <w:bCs/>
          <w:szCs w:val="24"/>
        </w:rPr>
        <w:t>30 дней;</w:t>
      </w:r>
    </w:p>
    <w:p w:rsidR="00EE0DD6" w:rsidRPr="00943510" w:rsidRDefault="00EE0DD6" w:rsidP="00EE0DD6">
      <w:pPr>
        <w:autoSpaceDE w:val="0"/>
        <w:autoSpaceDN w:val="0"/>
        <w:adjustRightInd w:val="0"/>
        <w:ind w:firstLine="540"/>
        <w:rPr>
          <w:szCs w:val="24"/>
        </w:rPr>
      </w:pPr>
      <w:r w:rsidRPr="00943510">
        <w:rPr>
          <w:szCs w:val="24"/>
        </w:rPr>
        <w:t>При наличии вышеуказанного обстоятельства и в случае если технологическое присоединение выполняется к электрическим сетям классом напряжения до 20 кВ включительно, 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EE0DD6" w:rsidRPr="00943510" w:rsidRDefault="00EE0DD6" w:rsidP="00EE0DD6">
      <w:pPr>
        <w:autoSpaceDE w:val="0"/>
        <w:autoSpaceDN w:val="0"/>
        <w:adjustRightInd w:val="0"/>
        <w:outlineLvl w:val="0"/>
        <w:rPr>
          <w:szCs w:val="24"/>
        </w:rPr>
      </w:pPr>
      <w:r w:rsidRPr="00943510">
        <w:rPr>
          <w:szCs w:val="24"/>
        </w:rPr>
        <w:t>120 дней - максимальная мощность энергопринимающих устройств составляет до 670 кВт;</w:t>
      </w:r>
    </w:p>
    <w:p w:rsidR="00EE0DD6" w:rsidRPr="00943510" w:rsidRDefault="00EE0DD6" w:rsidP="00EE0DD6">
      <w:pPr>
        <w:autoSpaceDE w:val="0"/>
        <w:autoSpaceDN w:val="0"/>
        <w:adjustRightInd w:val="0"/>
        <w:outlineLvl w:val="0"/>
        <w:rPr>
          <w:szCs w:val="24"/>
        </w:rPr>
      </w:pPr>
      <w:r w:rsidRPr="00943510">
        <w:rPr>
          <w:szCs w:val="24"/>
        </w:rPr>
        <w:t>1 год - максимальная мощность энергопринимающих устройств составляет свыше 670 кВт.</w:t>
      </w:r>
    </w:p>
    <w:p w:rsidR="00EE0DD6" w:rsidRPr="00943510" w:rsidRDefault="00EE0DD6" w:rsidP="00EE0DD6">
      <w:pPr>
        <w:autoSpaceDE w:val="0"/>
        <w:autoSpaceDN w:val="0"/>
        <w:adjustRightInd w:val="0"/>
        <w:ind w:firstLine="540"/>
        <w:rPr>
          <w:szCs w:val="24"/>
        </w:rPr>
      </w:pPr>
      <w:r w:rsidRPr="00943510">
        <w:rPr>
          <w:szCs w:val="24"/>
        </w:rPr>
        <w:t>При несоблюдении всех вышеуказанных условий -  1 год при максимальной мощности энергопринимающих устройств менее 670 кВт (и если более короткие сроки не предусмотрены инвестиционной программой АО "Энерго-Альянс" или соглашением сторон); 2 года –при максимальной мощностиэнергопринимающих устройств не менее 670 кВт, если иные сроки (но не более 4 лет) не предусмотрены инвестиционной программой АО "Энерго-Альянс" или соглашением сторон.</w:t>
      </w:r>
    </w:p>
    <w:p w:rsidR="00EE0DD6" w:rsidRPr="00943510" w:rsidRDefault="00EE0DD6" w:rsidP="00EE0DD6">
      <w:pPr>
        <w:autoSpaceDE w:val="0"/>
        <w:autoSpaceDN w:val="0"/>
        <w:adjustRightInd w:val="0"/>
        <w:ind w:firstLine="540"/>
        <w:rPr>
          <w:szCs w:val="24"/>
        </w:rPr>
      </w:pPr>
      <w:r w:rsidRPr="00943510">
        <w:rPr>
          <w:szCs w:val="24"/>
        </w:rPr>
        <w:t>При необходимости выполнения АО "Энерго-Альянс" мероприятий по строительству (реконструкции) объектов электросетевого хозяйства, включенных (подлежащих включению) в инвестиционную программуАО "Энерго-Альянс" (в том числе смежных сетевых организаций), и (или) объектов по производству электрической энергии, а также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- 6 месяцев.</w:t>
      </w:r>
    </w:p>
    <w:p w:rsidR="00EE0DD6" w:rsidRPr="00943510" w:rsidRDefault="00EE0DD6" w:rsidP="00EE0DD6">
      <w:pPr>
        <w:autoSpaceDE w:val="0"/>
        <w:autoSpaceDN w:val="0"/>
        <w:adjustRightInd w:val="0"/>
        <w:ind w:firstLine="540"/>
        <w:rPr>
          <w:szCs w:val="24"/>
        </w:rPr>
      </w:pPr>
      <w:r w:rsidRPr="00943510">
        <w:rPr>
          <w:szCs w:val="24"/>
        </w:rPr>
        <w:t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АО "Энерго-Альянс" мероприятий по технологическому присоединению не может превышать 30 дней.</w:t>
      </w:r>
    </w:p>
    <w:p w:rsidR="00EE0DD6" w:rsidRPr="00943510" w:rsidRDefault="00EE0DD6" w:rsidP="00EE0DD6">
      <w:pPr>
        <w:ind w:firstLine="567"/>
        <w:outlineLvl w:val="0"/>
        <w:rPr>
          <w:szCs w:val="24"/>
        </w:rPr>
      </w:pPr>
      <w:r w:rsidRPr="00943510">
        <w:rPr>
          <w:szCs w:val="24"/>
        </w:rPr>
        <w:lastRenderedPageBreak/>
        <w:t xml:space="preserve">Присоединение энергопринимающих устройств лица, в пользу которого перераспределена максимальная мощность, не производится до выполнения сторонами (лица перераспределяющего мощность и заявителя) в полном объеме технических условий. </w:t>
      </w:r>
    </w:p>
    <w:p w:rsidR="00EE0DD6" w:rsidRPr="00943510" w:rsidRDefault="00EE0DD6" w:rsidP="00EE0DD6">
      <w:pPr>
        <w:outlineLvl w:val="0"/>
        <w:rPr>
          <w:b/>
          <w:szCs w:val="24"/>
        </w:rPr>
      </w:pPr>
      <w:r w:rsidRPr="00943510">
        <w:rPr>
          <w:b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000" w:type="pct"/>
        <w:tblInd w:w="108" w:type="dxa"/>
        <w:tblLayout w:type="fixed"/>
        <w:tblLook w:val="00A0"/>
      </w:tblPr>
      <w:tblGrid>
        <w:gridCol w:w="466"/>
        <w:gridCol w:w="2182"/>
        <w:gridCol w:w="2240"/>
        <w:gridCol w:w="2959"/>
        <w:gridCol w:w="2139"/>
        <w:gridCol w:w="1736"/>
        <w:gridCol w:w="2672"/>
      </w:tblGrid>
      <w:tr w:rsidR="00EE0DD6" w:rsidRPr="00943510" w:rsidTr="00EE0DD6">
        <w:trPr>
          <w:cnfStyle w:val="100000000000"/>
          <w:tblHeader/>
        </w:trPr>
        <w:tc>
          <w:tcPr>
            <w:cnfStyle w:val="001000000000"/>
            <w:tcW w:w="162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5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7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4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0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EE0DD6" w:rsidRPr="00943510" w:rsidRDefault="00EE0DD6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943510">
              <w:rPr>
                <w:rFonts w:eastAsia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EE0DD6" w:rsidRPr="00943510" w:rsidTr="00EE0DD6">
        <w:trPr>
          <w:cnfStyle w:val="000000100000"/>
          <w:trHeight w:val="86"/>
        </w:trPr>
        <w:tc>
          <w:tcPr>
            <w:cnfStyle w:val="001000000000"/>
            <w:tcW w:w="162" w:type="pc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5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 (лицом, перераспределяющим максимальную мощность своих энергопринимающих устройств, и заявителем)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Заключение соглашения между заинтересованными лицами о перераспределении максимальной мощности между принадлежащими им энергопринимающими устройствами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Не ограничено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943510">
              <w:rPr>
                <w:rStyle w:val="af3"/>
                <w:rFonts w:cs="Times New Roman"/>
              </w:rPr>
              <w:footnoteReference w:id="2"/>
            </w:r>
            <w:r w:rsidRPr="00943510">
              <w:rPr>
                <w:rFonts w:cs="Times New Roman"/>
              </w:rPr>
              <w:t>.</w:t>
            </w:r>
          </w:p>
        </w:tc>
      </w:tr>
      <w:tr w:rsidR="00EE0DD6" w:rsidRPr="00943510" w:rsidTr="00EE0DD6">
        <w:trPr>
          <w:trHeight w:val="86"/>
        </w:trPr>
        <w:tc>
          <w:tcPr>
            <w:cnfStyle w:val="001000000000"/>
            <w:tcW w:w="162" w:type="pc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5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Направление сторонами подписанного уведомления в сетевую организацию о перераспределении мощности 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Направление в сетевую организацию уведомления подписанного сторонами соглашения о перераспределении мощности с пакетом необходимых документов. Рассмотрение АО "Энерго-Альянс" уведомления на предмет полноты сведений и пакета необходимых документов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43510">
              <w:rPr>
                <w:rFonts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не регламентирован НПА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86"/>
        </w:trPr>
        <w:tc>
          <w:tcPr>
            <w:cnfStyle w:val="001000000000"/>
            <w:tcW w:w="162" w:type="pc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5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АО "Энерго-Альянс"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43510">
              <w:rPr>
                <w:rFonts w:eastAsia="Times New Roman" w:cs="Times New Roman"/>
                <w:lang w:eastAsia="ru-RU"/>
              </w:rPr>
              <w:t>направляет копию уведомления субъекту оперативно-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>В следующих случаях: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- технические условия, подлежат согласованию с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субъектом оперативно-диспетчерского управления;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>АО "Энерго-Альянс"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43510">
              <w:rPr>
                <w:rFonts w:eastAsia="Times New Roman" w:cs="Times New Roman"/>
                <w:lang w:eastAsia="ru-RU"/>
              </w:rPr>
              <w:t>направляет копию уведомления субъекту оперативно-диспетчерского управления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Способом</w:t>
            </w:r>
            <w:r w:rsidRPr="00943510">
              <w:rPr>
                <w:rFonts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в течение 5 рабочих дней со дня получения уведомления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Пункт 34 Правил технологического присоединения энергопринимающих устройств потребителей </w:t>
            </w:r>
            <w:r w:rsidRPr="00943510">
              <w:rPr>
                <w:rFonts w:cs="Times New Roman"/>
              </w:rPr>
              <w:lastRenderedPageBreak/>
              <w:t>электрической энергии</w:t>
            </w:r>
          </w:p>
        </w:tc>
      </w:tr>
      <w:tr w:rsidR="00EE0DD6" w:rsidRPr="00943510" w:rsidTr="00EE0DD6">
        <w:trPr>
          <w:trHeight w:val="86"/>
        </w:trPr>
        <w:tc>
          <w:tcPr>
            <w:cnfStyle w:val="001000000000"/>
            <w:tcW w:w="162" w:type="pct"/>
            <w:vMerge w:val="restar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5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При необходимости согласования АО "Энерго-Альянс" технических условий с системным оператором 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4.1. </w:t>
            </w:r>
            <w:r w:rsidRPr="00943510">
              <w:rPr>
                <w:rFonts w:eastAsia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43510">
              <w:rPr>
                <w:rFonts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cs="Times New Roman"/>
              </w:rPr>
              <w:t>лично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15, 21,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86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4.2.</w:t>
            </w:r>
            <w:r w:rsidRPr="00943510">
              <w:rPr>
                <w:rFonts w:eastAsia="Times New Roman" w:cs="Times New Roman"/>
                <w:lang w:eastAsia="ru-RU"/>
              </w:rPr>
              <w:t> Направление (выдача при очном посещении офиса) АО "Энерго-Альянс" 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Письменная форма проекта договора, подписанного со стороны АО "Энерго-Альянс", направляется способом</w:t>
            </w:r>
            <w:r w:rsidRPr="00943510">
              <w:rPr>
                <w:rFonts w:cs="Times New Roman"/>
              </w:rPr>
              <w:t xml:space="preserve">, позволяющим подтвердить факт получения, или </w:t>
            </w:r>
            <w:r w:rsidRPr="00943510">
              <w:rPr>
                <w:rFonts w:cs="Times New Roman"/>
              </w:rPr>
              <w:lastRenderedPageBreak/>
              <w:t xml:space="preserve">выдача заявителю в офисе </w:t>
            </w:r>
            <w:r>
              <w:rPr>
                <w:rFonts w:cs="Times New Roman"/>
              </w:rPr>
              <w:t>лично</w:t>
            </w:r>
            <w:r w:rsidRPr="00943510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>30 дней с даты  получения уведомления или недостающих сведений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ind w:firstLine="12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-</w:t>
            </w:r>
            <w:r w:rsidRPr="00943510">
              <w:rPr>
                <w:rFonts w:cs="Times New Roman"/>
              </w:rPr>
              <w:t xml:space="preserve"> не позднее 3 рабочих дней со дня согласования с </w:t>
            </w:r>
            <w:r w:rsidRPr="00943510">
              <w:rPr>
                <w:rFonts w:cs="Times New Roman"/>
              </w:rPr>
              <w:lastRenderedPageBreak/>
              <w:t>системным оператором тех. условий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86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4.3</w:t>
            </w:r>
            <w:r w:rsidRPr="00943510">
              <w:rPr>
                <w:rFonts w:eastAsia="Times New Roman" w:cs="Times New Roman"/>
                <w:lang w:eastAsia="ru-RU"/>
              </w:rPr>
              <w:t>. П</w:t>
            </w:r>
            <w:r w:rsidRPr="00943510">
              <w:rPr>
                <w:rFonts w:cs="Times New Roman"/>
              </w:rPr>
              <w:t>одписание заявителем двух экземпляров проекта договора и направление(передачав офисе обслуживания потребителей) одного  экземпляра АО "Энерго-Альянс"  с приложением к нему документов, подтверждающих полномочия лица, подписавшего такой договор (если они не предоставлялись ранее)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В случае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86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В случае несогласия заявителя с представленным АО "Энерго-Альянс" проектом договора и (или) несоответствия его Правилам 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4.4.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943510">
              <w:rPr>
                <w:rFonts w:cs="Times New Roman"/>
              </w:rPr>
              <w:t>Заявитель направляет АО "Энерго-Альянс" мотивированный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Письменная форма мотивированного отказа (протокол разногласий к договору)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в течение 30 дней со дня получения подписанного АО "Энерго-Альянс" проекта договора и технических условий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EE0DD6" w:rsidRPr="00943510" w:rsidTr="00EE0DD6">
        <w:trPr>
          <w:trHeight w:val="86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4.5.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943510">
              <w:rPr>
                <w:rFonts w:eastAsia="Times New Roman" w:cs="Times New Roman"/>
                <w:lang w:eastAsia="ru-RU"/>
              </w:rPr>
              <w:t xml:space="preserve">Направление (выдача при очном посещении офиса ) АО "Энерго-Альянс"  откорректированного проекта договора об осуществлении технологического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присоединения  с  техническими условиями (или 2 экз. подписанного протокола урегулирования и 1 экз. протокола разногласий к договору – в случае получения от заявителя протокола разногласий к договору)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 xml:space="preserve">Письменная форма проекта договора (протокола урегулирования разногласий и протокола разногласий),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подписанного со стороны АО "Энерго-Альянс", направляется способом</w:t>
            </w:r>
            <w:r w:rsidRPr="00943510">
              <w:rPr>
                <w:rFonts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cs="Times New Roman"/>
              </w:rPr>
              <w:t>лично</w:t>
            </w:r>
            <w:r w:rsidRPr="00943510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проекта договора в соответствие с Правилами ТП (30 дней с даты получения протокола разногласий к договору – ст. 445 ГК РФ)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электрической энергии, ст. 445 Гражданского </w:t>
            </w:r>
            <w:r w:rsidRPr="00943510">
              <w:rPr>
                <w:rFonts w:cs="Times New Roman"/>
              </w:rPr>
              <w:lastRenderedPageBreak/>
              <w:t>Кодекса РФ</w:t>
            </w:r>
          </w:p>
        </w:tc>
      </w:tr>
      <w:tr w:rsidR="00EE0DD6" w:rsidRPr="00943510" w:rsidTr="00EE0DD6">
        <w:trPr>
          <w:cnfStyle w:val="000000100000"/>
          <w:trHeight w:val="86"/>
        </w:trPr>
        <w:tc>
          <w:tcPr>
            <w:cnfStyle w:val="001000000000"/>
            <w:tcW w:w="162" w:type="pc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5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АО "Энерго-Альянс"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5.1.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943510">
              <w:rPr>
                <w:rFonts w:cs="Times New Roman"/>
              </w:rPr>
              <w:t>В случае, если технические условия подлежат согласованию с субъектом оперативно-диспетчерского управления, предварительно АО "Энерго-Альянс" проводит согласование с субъектом оперативно-диспетчерского управления и срок направления изменений в техусловия</w:t>
            </w:r>
            <w:r>
              <w:rPr>
                <w:rFonts w:cs="Times New Roman"/>
              </w:rPr>
              <w:t xml:space="preserve">х </w:t>
            </w:r>
            <w:r w:rsidRPr="00943510">
              <w:rPr>
                <w:rFonts w:cs="Times New Roman"/>
              </w:rPr>
              <w:t>продлевается на срок их согласования.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 xml:space="preserve">не позднее 10 рабочих дней со дня выдачи технических условий заявителю (лицу, в пользу которого перераспределяется максимальная мощность). 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 w:val="restar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5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7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 (лицом, в пользу которого перераспределяется мощность)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6.1</w:t>
            </w:r>
            <w:r w:rsidRPr="00943510">
              <w:rPr>
                <w:rFonts w:eastAsia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2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6.2</w:t>
            </w:r>
            <w:r w:rsidRPr="00943510">
              <w:rPr>
                <w:rFonts w:eastAsia="Times New Roman" w:cs="Times New Roman"/>
                <w:lang w:eastAsia="ru-RU"/>
              </w:rPr>
              <w:t>. </w:t>
            </w:r>
            <w:r w:rsidRPr="00943510">
              <w:rPr>
                <w:rFonts w:cs="Times New Roman"/>
              </w:rPr>
              <w:t>Выполнение АО "Энерго-Альянс"  мероприятий, предусмотренных договором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2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6.3</w:t>
            </w:r>
            <w:r w:rsidRPr="00943510">
              <w:rPr>
                <w:rFonts w:eastAsia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 xml:space="preserve">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До завершения срока осуществления мероприятий по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2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6.4</w:t>
            </w:r>
            <w:r w:rsidRPr="00943510">
              <w:rPr>
                <w:rFonts w:eastAsia="Times New Roman" w:cs="Times New Roman"/>
                <w:lang w:eastAsia="ru-RU"/>
              </w:rPr>
              <w:t>. </w:t>
            </w:r>
            <w:r w:rsidRPr="00943510">
              <w:rPr>
                <w:rFonts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6.5</w:t>
            </w:r>
            <w:r w:rsidRPr="00943510">
              <w:rPr>
                <w:rFonts w:eastAsia="Times New Roman" w:cs="Times New Roman"/>
                <w:lang w:eastAsia="ru-RU"/>
              </w:rPr>
              <w:t>. </w:t>
            </w:r>
            <w:r w:rsidRPr="00943510">
              <w:rPr>
                <w:rFonts w:cs="Times New Roman"/>
              </w:rPr>
              <w:t>Направление заявителем, в пользу которого перераспределяется мощность, АО "Энерго-Альянс"уведомления о выполнении технических условий с пакетом необходимых документов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После выполнения технических условий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Пункты 85, 86 Правил технологического присоединения энергопринимающих</w:t>
            </w:r>
            <w:r>
              <w:rPr>
                <w:rFonts w:cs="Times New Roman"/>
              </w:rPr>
              <w:t xml:space="preserve"> </w:t>
            </w:r>
            <w:r w:rsidRPr="00943510">
              <w:rPr>
                <w:rFonts w:cs="Times New Roman"/>
              </w:rPr>
              <w:t>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При необходимости согласования АО "Энерго-Альянс"  технических условий с системным оператором 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6.6</w:t>
            </w:r>
            <w:r w:rsidRPr="00943510">
              <w:rPr>
                <w:rFonts w:eastAsia="Times New Roman" w:cs="Times New Roman"/>
                <w:lang w:eastAsia="ru-RU"/>
              </w:rPr>
              <w:t xml:space="preserve">.Направление АО "Энерго-Альянс" </w:t>
            </w:r>
            <w:r w:rsidRPr="00943510">
              <w:rPr>
                <w:rFonts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Копии уведомления заявителя с необходимым пакетом документов </w:t>
            </w:r>
            <w:r w:rsidRPr="00943510">
              <w:rPr>
                <w:rFonts w:eastAsia="Times New Roman" w:cs="Times New Roman"/>
                <w:lang w:eastAsia="ru-RU"/>
              </w:rPr>
              <w:t>способом</w:t>
            </w:r>
            <w:r w:rsidRPr="00943510">
              <w:rPr>
                <w:rFonts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течение 2 дней со дня получения уведомления о выполнении техусловий</w:t>
            </w:r>
            <w:r>
              <w:rPr>
                <w:rFonts w:cs="Times New Roman"/>
              </w:rPr>
              <w:t xml:space="preserve"> </w:t>
            </w:r>
            <w:r w:rsidRPr="00943510">
              <w:rPr>
                <w:rFonts w:cs="Times New Roman"/>
              </w:rPr>
              <w:t>от заявителя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 w:val="restar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cnfStyle w:val="000010000000"/>
            <w:tcW w:w="75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Проверка выполнения технических </w:t>
            </w:r>
            <w:r w:rsidRPr="00943510">
              <w:rPr>
                <w:rFonts w:cs="Times New Roman"/>
              </w:rPr>
              <w:lastRenderedPageBreak/>
              <w:t>условий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lastRenderedPageBreak/>
              <w:t xml:space="preserve">Направление   заявителем в АО "Энерго-Альянс" </w:t>
            </w:r>
            <w:r w:rsidRPr="00943510">
              <w:rPr>
                <w:rFonts w:eastAsia="Times New Roman" w:cs="Times New Roman"/>
                <w:lang w:eastAsia="ru-RU"/>
              </w:rPr>
              <w:lastRenderedPageBreak/>
              <w:t>уведомления о выполнении технических условий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7.1.</w:t>
            </w:r>
            <w:r w:rsidRPr="00943510">
              <w:rPr>
                <w:rFonts w:cs="Times New Roman"/>
              </w:rPr>
              <w:t xml:space="preserve"> Проверка соответствия технических решений, параметров оборудования </w:t>
            </w:r>
            <w:r w:rsidRPr="00943510">
              <w:rPr>
                <w:rFonts w:cs="Times New Roman"/>
              </w:rPr>
              <w:lastRenderedPageBreak/>
              <w:t>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Акт о выполнении технических условий, при </w:t>
            </w:r>
            <w:r w:rsidRPr="00943510">
              <w:rPr>
                <w:rFonts w:cs="Times New Roman"/>
              </w:rPr>
              <w:lastRenderedPageBreak/>
              <w:t xml:space="preserve">наличии замечаний – перечень замечаний.Выдаются заявителю под роспись.  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в течение 10 дней со дня получения от </w:t>
            </w:r>
            <w:r w:rsidRPr="00943510">
              <w:rPr>
                <w:rFonts w:cs="Times New Roman"/>
              </w:rPr>
              <w:lastRenderedPageBreak/>
              <w:t>заявителя документов, необходимых для проверки выполнения техусловий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Пункты 83-89 Правил технологического присоединения </w:t>
            </w:r>
            <w:r w:rsidRPr="00943510">
              <w:rPr>
                <w:rFonts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312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7.2.</w:t>
            </w:r>
            <w:r w:rsidRPr="00943510">
              <w:rPr>
                <w:rFonts w:cs="Times New Roman"/>
              </w:rPr>
              <w:t> 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</w:pPr>
            <w:r w:rsidRPr="00943510">
              <w:rPr>
                <w:rFonts w:cs="Times New Roman"/>
              </w:rPr>
              <w:t>В письменной форме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течение 25 дней со дня поступления уведомления от заявителя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97, 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7.3.</w:t>
            </w:r>
            <w:r w:rsidRPr="00943510">
              <w:rPr>
                <w:rFonts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АО "Энерго-Альянс" осмотра (обследования) электроустановок заявителя 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 xml:space="preserve">В случае невыполнения заявителем требований технических условий. Получение АО "Энерго-Альянс" от заявителя уведомления об устранении </w:t>
            </w:r>
            <w:r w:rsidRPr="00943510">
              <w:rPr>
                <w:rFonts w:cs="Times New Roman"/>
              </w:rPr>
              <w:lastRenderedPageBreak/>
              <w:t>замечаний по выполнению технических условий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943510">
              <w:rPr>
                <w:rFonts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Акт о выполнении технических условий. 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7.5.</w:t>
            </w:r>
            <w:r w:rsidRPr="00943510">
              <w:rPr>
                <w:rFonts w:cs="Times New Roman"/>
              </w:rPr>
              <w:t xml:space="preserve"> Прием в эксплуатацию прибора учета.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Подписание сторонами  Акта допуска в эксплуатацию прибора учета.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hyperlink r:id="rId8" w:history="1">
              <w:r w:rsidRPr="00943510">
                <w:rPr>
                  <w:rFonts w:cs="Times New Roman"/>
                </w:rPr>
                <w:t>Акт</w:t>
              </w:r>
            </w:hyperlink>
            <w:r w:rsidRPr="00943510">
              <w:rPr>
                <w:rFonts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день проведения проверки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lang w:eastAsia="ru-RU"/>
              </w:rPr>
              <w:t>Раздел ХОсновных положений функционирования розничных рынков электрической энергии</w:t>
            </w:r>
            <w:r w:rsidRPr="00943510">
              <w:rPr>
                <w:rStyle w:val="af3"/>
                <w:rFonts w:eastAsia="Times New Roman" w:cs="Times New Roman"/>
                <w:lang w:eastAsia="ru-RU"/>
              </w:rPr>
              <w:footnoteReference w:id="3"/>
            </w: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  <w:vAlign w:val="center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7.6.</w:t>
            </w:r>
            <w:r w:rsidRPr="00943510">
              <w:rPr>
                <w:rFonts w:cs="Times New Roman"/>
              </w:rPr>
              <w:t xml:space="preserve"> Направление (выдача) заявителю Акта о выполнении технических условий в 2 экземплярах, в том числе в установленных случаях согласованного с субъектом оперативно-диспетчерского управления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Акт о выполнении технических условий в письменной форме направляется  </w:t>
            </w:r>
            <w:r w:rsidRPr="00943510">
              <w:rPr>
                <w:rFonts w:eastAsia="Times New Roman" w:cs="Times New Roman"/>
                <w:lang w:eastAsia="ru-RU"/>
              </w:rPr>
              <w:t>способом</w:t>
            </w:r>
            <w:r w:rsidRPr="00943510">
              <w:rPr>
                <w:rFonts w:cs="Times New Roman"/>
              </w:rPr>
              <w:t xml:space="preserve">, позволяющим подтвердить факт получения, или выдается заявителю </w:t>
            </w:r>
            <w:r>
              <w:rPr>
                <w:rFonts w:cs="Times New Roman"/>
              </w:rPr>
              <w:t xml:space="preserve">лично пол роспись 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день проведения проверки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либо 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943510">
              <w:rPr>
                <w:rFonts w:cs="Times New Roman"/>
              </w:rPr>
              <w:t>3-дневный срок после проведения осмотра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зависимости от категории заявителя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Пункты 88, 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  <w:vAlign w:val="center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 xml:space="preserve">Предоставление заявителю </w:t>
            </w:r>
            <w:r w:rsidRPr="00943510">
              <w:rPr>
                <w:rFonts w:cs="Times New Roman"/>
              </w:rPr>
              <w:t>акта о выполнении технических условий</w:t>
            </w:r>
            <w:r w:rsidRPr="00943510">
              <w:rPr>
                <w:rFonts w:eastAsia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 xml:space="preserve">7.7. </w:t>
            </w:r>
            <w:r w:rsidRPr="00943510">
              <w:rPr>
                <w:rFonts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Подписанный Акт о выполнении технических условий 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943510">
              <w:rPr>
                <w:rFonts w:cs="Times New Roman"/>
              </w:rPr>
              <w:t>течение 5 дней со дня получения</w:t>
            </w:r>
            <w:r>
              <w:rPr>
                <w:rFonts w:cs="Times New Roman"/>
              </w:rPr>
              <w:t xml:space="preserve"> </w:t>
            </w:r>
            <w:r w:rsidRPr="00943510">
              <w:rPr>
                <w:rFonts w:cs="Times New Roman"/>
              </w:rPr>
              <w:t>заявителем акта на подписание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151"/>
        </w:trPr>
        <w:tc>
          <w:tcPr>
            <w:cnfStyle w:val="001000000000"/>
            <w:tcW w:w="162" w:type="pct"/>
            <w:vMerge w:val="restart"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  <w:r w:rsidRPr="00943510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cnfStyle w:val="000010000000"/>
            <w:tcW w:w="758" w:type="pct"/>
            <w:vMerge w:val="restar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Присоединение объектов заявителя и подписание актов, </w:t>
            </w:r>
            <w:r w:rsidRPr="00943510">
              <w:t xml:space="preserve">подтверждающих  технологическое </w:t>
            </w:r>
            <w:r w:rsidRPr="00943510">
              <w:lastRenderedPageBreak/>
              <w:t>присоединение</w:t>
            </w: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lastRenderedPageBreak/>
              <w:t xml:space="preserve">Подписанные сторонами акты о выполнении технических условий, о допуске </w:t>
            </w:r>
            <w:r w:rsidRPr="00943510">
              <w:rPr>
                <w:rFonts w:cs="Times New Roman"/>
              </w:rPr>
              <w:lastRenderedPageBreak/>
              <w:t>приборов учета в эксплуатацию</w:t>
            </w: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8.1</w:t>
            </w:r>
            <w:r w:rsidRPr="00943510">
              <w:rPr>
                <w:rFonts w:cs="Times New Roman"/>
              </w:rPr>
              <w:t xml:space="preserve"> Фактическое присоединение объектов заявителя и включение коммутационного аппарата (фиксация коммутационного </w:t>
            </w:r>
            <w:r w:rsidRPr="00943510">
              <w:rPr>
                <w:rFonts w:cs="Times New Roman"/>
              </w:rPr>
              <w:lastRenderedPageBreak/>
              <w:t>аппарата в положении "включено").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Пункты 7, 18 Правил технологического присоединения энергопринимающих устройств потребителей </w:t>
            </w:r>
            <w:r w:rsidRPr="00943510">
              <w:rPr>
                <w:rFonts w:cs="Times New Roman"/>
              </w:rPr>
              <w:lastRenderedPageBreak/>
              <w:t>электрической энергии</w:t>
            </w:r>
          </w:p>
        </w:tc>
      </w:tr>
      <w:tr w:rsidR="00EE0DD6" w:rsidRPr="00943510" w:rsidTr="00EE0DD6">
        <w:trPr>
          <w:trHeight w:val="270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  <w:vAlign w:val="center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8.2.</w:t>
            </w:r>
            <w:r w:rsidRPr="00943510">
              <w:rPr>
                <w:rFonts w:cs="Times New Roman"/>
              </w:rPr>
              <w:t xml:space="preserve"> Оформление АО "Энерго-Альянс"  и направление (выдача) заявителю: 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Акта об осуществлении технологического присоединения;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Акта согласования технологической и (или) аварийной брони (при соответствии заявителя критериям, установленным п. 14(2) Правил технологического присоединения энергопринимающих устройств потребителей электрической энергии)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 xml:space="preserve">Подписанные со стороны АО "Энерго-Альянс" Акты  в письменной форме направляются </w:t>
            </w:r>
            <w:r w:rsidRPr="00943510">
              <w:rPr>
                <w:rFonts w:eastAsia="Times New Roman" w:cs="Times New Roman"/>
                <w:lang w:eastAsia="ru-RU"/>
              </w:rPr>
              <w:t>способом</w:t>
            </w:r>
            <w:r w:rsidRPr="00943510">
              <w:rPr>
                <w:rFonts w:cs="Times New Roman"/>
              </w:rPr>
              <w:t xml:space="preserve">, позволяющим подтвердить факт получения, или выдаются заявителю в офисе </w:t>
            </w:r>
            <w:r>
              <w:rPr>
                <w:rFonts w:cs="Times New Roman"/>
              </w:rPr>
              <w:t>лично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cs="Times New Roman"/>
              </w:rPr>
              <w:t>В течение 3-х рабочих дней со дня фактического присоединения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DD6" w:rsidRPr="00943510" w:rsidTr="00EE0DD6">
        <w:trPr>
          <w:cnfStyle w:val="000000100000"/>
          <w:trHeight w:val="695"/>
        </w:trPr>
        <w:tc>
          <w:tcPr>
            <w:cnfStyle w:val="001000000000"/>
            <w:tcW w:w="162" w:type="pct"/>
            <w:vMerge/>
          </w:tcPr>
          <w:p w:rsidR="00EE0DD6" w:rsidRPr="00943510" w:rsidRDefault="00EE0DD6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58" w:type="pct"/>
            <w:vMerge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943510">
              <w:rPr>
                <w:rFonts w:cs="Times New Roman"/>
              </w:rPr>
              <w:t>Акт об осуществлении технологического присоединения</w:t>
            </w:r>
            <w:r w:rsidRPr="00943510">
              <w:rPr>
                <w:rFonts w:eastAsia="Times New Roman" w:cs="Times New Roman"/>
                <w:lang w:eastAsia="ru-RU"/>
              </w:rPr>
              <w:t xml:space="preserve"> подписан сторонами</w:t>
            </w:r>
          </w:p>
          <w:p w:rsidR="00EE0DD6" w:rsidRPr="00943510" w:rsidRDefault="00EE0DD6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28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43510">
              <w:rPr>
                <w:rFonts w:eastAsia="Times New Roman" w:cs="Times New Roman"/>
                <w:b/>
                <w:bCs/>
                <w:lang w:eastAsia="ru-RU"/>
              </w:rPr>
              <w:t>8.3.</w:t>
            </w:r>
            <w:r w:rsidRPr="00943510">
              <w:rPr>
                <w:rFonts w:cs="Times New Roman"/>
              </w:rPr>
              <w:t xml:space="preserve"> Направление АО "Энерго-Альянс" копии Акта об осуществлении технологического присоединения в энергосбытовую организацию </w:t>
            </w:r>
          </w:p>
        </w:tc>
        <w:tc>
          <w:tcPr>
            <w:tcW w:w="743" w:type="pct"/>
          </w:tcPr>
          <w:p w:rsidR="00EE0DD6" w:rsidRPr="00943510" w:rsidRDefault="00EE0DD6" w:rsidP="0041206C">
            <w:pPr>
              <w:autoSpaceDE w:val="0"/>
              <w:autoSpaceDN w:val="0"/>
              <w:adjustRightInd w:val="0"/>
              <w:outlineLvl w:val="0"/>
              <w:cnfStyle w:val="000000100000"/>
            </w:pPr>
            <w:r w:rsidRPr="00943510">
              <w:rPr>
                <w:rFonts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03" w:type="pct"/>
          </w:tcPr>
          <w:p w:rsidR="00EE0DD6" w:rsidRPr="00943510" w:rsidRDefault="00EE0DD6" w:rsidP="0041206C">
            <w:r w:rsidRPr="00943510">
              <w:rPr>
                <w:rFonts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8" w:type="pct"/>
          </w:tcPr>
          <w:p w:rsidR="00EE0DD6" w:rsidRPr="00943510" w:rsidRDefault="00EE0DD6" w:rsidP="0041206C">
            <w:pPr>
              <w:cnfStyle w:val="000000100000"/>
            </w:pPr>
            <w:r w:rsidRPr="00943510">
              <w:rPr>
                <w:rFonts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E0DD6" w:rsidRPr="00943510" w:rsidRDefault="00EE0DD6" w:rsidP="00EE0DD6">
      <w:pPr>
        <w:spacing w:after="60"/>
        <w:outlineLvl w:val="0"/>
        <w:rPr>
          <w:b/>
          <w:szCs w:val="24"/>
        </w:rPr>
      </w:pPr>
    </w:p>
    <w:p w:rsidR="00EE0DD6" w:rsidRPr="005D4435" w:rsidRDefault="00EE0DD6" w:rsidP="00EE0DD6">
      <w:pPr>
        <w:autoSpaceDE w:val="0"/>
        <w:autoSpaceDN w:val="0"/>
        <w:adjustRightInd w:val="0"/>
        <w:rPr>
          <w:szCs w:val="24"/>
        </w:rPr>
      </w:pPr>
      <w:r w:rsidRPr="005D4435">
        <w:rPr>
          <w:b/>
          <w:szCs w:val="24"/>
        </w:rPr>
        <w:t>КОНТАКТНАЯ ИНФОРМАЦИЯ ДЛЯ НАПРАВЛЕНИЯ ОБРАЩЕНИИЙ:</w:t>
      </w:r>
    </w:p>
    <w:p w:rsidR="00EE0DD6" w:rsidRPr="005D4435" w:rsidRDefault="00EE0DD6" w:rsidP="00EE0DD6">
      <w:pPr>
        <w:autoSpaceDE w:val="0"/>
        <w:autoSpaceDN w:val="0"/>
        <w:adjustRightInd w:val="0"/>
      </w:pPr>
      <w:r w:rsidRPr="005D4435">
        <w:t>Номер телефона АО «Энерго-Альянс» 8(34265)22534</w:t>
      </w:r>
    </w:p>
    <w:p w:rsidR="00EE0DD6" w:rsidRPr="005D4435" w:rsidRDefault="00EE0DD6" w:rsidP="00EE0DD6">
      <w:pPr>
        <w:autoSpaceDE w:val="0"/>
        <w:autoSpaceDN w:val="0"/>
        <w:adjustRightInd w:val="0"/>
      </w:pPr>
      <w:r w:rsidRPr="005D4435">
        <w:t xml:space="preserve">Адрес электронной почты АО «Энерго-Альянс»: </w:t>
      </w:r>
      <w:r w:rsidRPr="005D4435">
        <w:rPr>
          <w:lang w:val="en-US"/>
        </w:rPr>
        <w:t>dgkes</w:t>
      </w:r>
      <w:r w:rsidRPr="005D4435">
        <w:t>@</w:t>
      </w:r>
      <w:r w:rsidRPr="005D4435">
        <w:rPr>
          <w:lang w:val="en-US"/>
        </w:rPr>
        <w:t>yandex</w:t>
      </w:r>
      <w:r w:rsidRPr="005D4435">
        <w:t>.ru</w:t>
      </w:r>
    </w:p>
    <w:p w:rsidR="00EE0DD6" w:rsidRPr="005D4435" w:rsidRDefault="00EE0DD6" w:rsidP="00EE0DD6">
      <w:pPr>
        <w:autoSpaceDE w:val="0"/>
        <w:autoSpaceDN w:val="0"/>
        <w:adjustRightInd w:val="0"/>
      </w:pPr>
      <w:r w:rsidRPr="005D4435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EE0DD6" w:rsidRPr="00A3143A" w:rsidRDefault="00EE0DD6" w:rsidP="00EE0DD6">
      <w:pPr>
        <w:autoSpaceDE w:val="0"/>
        <w:autoSpaceDN w:val="0"/>
        <w:adjustRightInd w:val="0"/>
        <w:rPr>
          <w:szCs w:val="24"/>
        </w:rPr>
      </w:pPr>
      <w:r w:rsidRPr="005D4435">
        <w:t xml:space="preserve">Управление Федеральной антимонопольной службы по Пермскому краю </w:t>
      </w:r>
      <w:hyperlink r:id="rId9" w:history="1">
        <w:r w:rsidRPr="005D4435">
          <w:t>http://perm.fas.gov.ru/</w:t>
        </w:r>
      </w:hyperlink>
      <w:r w:rsidRPr="005D4435">
        <w:t>, (342) 23-51-200</w:t>
      </w:r>
    </w:p>
    <w:p w:rsidR="00EE0DD6" w:rsidRPr="00943510" w:rsidRDefault="00EE0DD6" w:rsidP="00EE0DD6">
      <w:pPr>
        <w:autoSpaceDE w:val="0"/>
        <w:autoSpaceDN w:val="0"/>
        <w:adjustRightInd w:val="0"/>
        <w:spacing w:after="60"/>
        <w:rPr>
          <w:szCs w:val="24"/>
        </w:rPr>
      </w:pPr>
    </w:p>
    <w:p w:rsidR="00402388" w:rsidRPr="000750FE" w:rsidRDefault="00402388" w:rsidP="000750FE">
      <w:pPr>
        <w:rPr>
          <w:szCs w:val="24"/>
        </w:rPr>
      </w:pPr>
    </w:p>
    <w:sectPr w:rsidR="00402388" w:rsidRPr="000750FE" w:rsidSect="000D4B5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6C" w:rsidRDefault="00B43F6C" w:rsidP="001229F1">
      <w:r>
        <w:separator/>
      </w:r>
    </w:p>
  </w:endnote>
  <w:endnote w:type="continuationSeparator" w:id="1">
    <w:p w:rsidR="00B43F6C" w:rsidRDefault="00B43F6C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B97EA2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428.9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B97EA2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EE0DD6" w:rsidRPr="00EE0DD6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5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6C" w:rsidRDefault="00B43F6C" w:rsidP="001229F1">
      <w:r>
        <w:separator/>
      </w:r>
    </w:p>
  </w:footnote>
  <w:footnote w:type="continuationSeparator" w:id="1">
    <w:p w:rsidR="00B43F6C" w:rsidRDefault="00B43F6C" w:rsidP="001229F1">
      <w:r>
        <w:continuationSeparator/>
      </w:r>
    </w:p>
  </w:footnote>
  <w:footnote w:id="2">
    <w:p w:rsidR="00EE0DD6" w:rsidRDefault="00EE0DD6" w:rsidP="00EE0DD6">
      <w:pPr>
        <w:pStyle w:val="af1"/>
        <w:jc w:val="both"/>
      </w:pPr>
      <w:r>
        <w:rPr>
          <w:rStyle w:val="af3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EE0DD6" w:rsidRDefault="00EE0DD6" w:rsidP="00EE0DD6">
      <w:pPr>
        <w:autoSpaceDE w:val="0"/>
        <w:autoSpaceDN w:val="0"/>
        <w:adjustRightInd w:val="0"/>
      </w:pPr>
      <w:r>
        <w:rPr>
          <w:rStyle w:val="af3"/>
        </w:rPr>
        <w:footnoteRef/>
      </w:r>
      <w:r w:rsidRPr="00C8718B">
        <w:rPr>
          <w:rFonts w:eastAsia="Times New Roman"/>
          <w:szCs w:val="24"/>
          <w:lang w:eastAsia="ru-RU"/>
        </w:rPr>
        <w:t>Основ</w:t>
      </w:r>
      <w:r>
        <w:rPr>
          <w:rFonts w:eastAsia="Times New Roman"/>
          <w:szCs w:val="24"/>
          <w:lang w:eastAsia="ru-RU"/>
        </w:rPr>
        <w:t>ные положения</w:t>
      </w:r>
      <w:r w:rsidRPr="00C8718B">
        <w:rPr>
          <w:rFonts w:eastAsia="Times New Roman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eastAsia="Times New Roman"/>
          <w:szCs w:val="24"/>
          <w:lang w:eastAsia="ru-RU"/>
        </w:rPr>
        <w:t xml:space="preserve">, </w:t>
      </w:r>
      <w:r w:rsidRPr="00DC7CA8">
        <w:rPr>
          <w:rFonts w:eastAsia="Times New Roman"/>
          <w:szCs w:val="24"/>
          <w:lang w:eastAsia="ru-RU"/>
        </w:rPr>
        <w:t xml:space="preserve">утвержденные </w:t>
      </w:r>
      <w:r>
        <w:rPr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8194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30B64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41876"/>
    <w:rsid w:val="001A5399"/>
    <w:rsid w:val="001B2C2B"/>
    <w:rsid w:val="001C11E8"/>
    <w:rsid w:val="001D508E"/>
    <w:rsid w:val="00220755"/>
    <w:rsid w:val="00226B97"/>
    <w:rsid w:val="0024295B"/>
    <w:rsid w:val="00250A1F"/>
    <w:rsid w:val="002519A8"/>
    <w:rsid w:val="00274FC9"/>
    <w:rsid w:val="002E5753"/>
    <w:rsid w:val="00305D0D"/>
    <w:rsid w:val="003117AC"/>
    <w:rsid w:val="00331DD4"/>
    <w:rsid w:val="00343FD3"/>
    <w:rsid w:val="00351E57"/>
    <w:rsid w:val="00355829"/>
    <w:rsid w:val="00355D83"/>
    <w:rsid w:val="00372C94"/>
    <w:rsid w:val="00395ACC"/>
    <w:rsid w:val="00397644"/>
    <w:rsid w:val="003A797B"/>
    <w:rsid w:val="003F5E14"/>
    <w:rsid w:val="00402388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259E8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B63BC"/>
    <w:rsid w:val="007C0035"/>
    <w:rsid w:val="007E5E2E"/>
    <w:rsid w:val="007F0741"/>
    <w:rsid w:val="007F1B1D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3FD2"/>
    <w:rsid w:val="009F3E29"/>
    <w:rsid w:val="00A3480A"/>
    <w:rsid w:val="00A46CB5"/>
    <w:rsid w:val="00A53D07"/>
    <w:rsid w:val="00A56063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43F6C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43A67"/>
    <w:rsid w:val="00C53BFB"/>
    <w:rsid w:val="00C70013"/>
    <w:rsid w:val="00C81904"/>
    <w:rsid w:val="00C97E36"/>
    <w:rsid w:val="00CB1541"/>
    <w:rsid w:val="00CC64F9"/>
    <w:rsid w:val="00CE04ED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367E"/>
    <w:rsid w:val="00EB37D4"/>
    <w:rsid w:val="00EB5356"/>
    <w:rsid w:val="00ED5697"/>
    <w:rsid w:val="00EE0DD6"/>
    <w:rsid w:val="00EF6CAB"/>
    <w:rsid w:val="00F15458"/>
    <w:rsid w:val="00F31B37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.fas.go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4</cp:revision>
  <cp:lastPrinted>2017-09-08T06:31:00Z</cp:lastPrinted>
  <dcterms:created xsi:type="dcterms:W3CDTF">2017-11-29T07:19:00Z</dcterms:created>
  <dcterms:modified xsi:type="dcterms:W3CDTF">2017-11-29T07:20:00Z</dcterms:modified>
  <cp:category>ПТО</cp:category>
</cp:coreProperties>
</file>